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A4" w:rsidRDefault="00D820A4" w:rsidP="004E0032">
      <w:pPr>
        <w:shd w:val="clear" w:color="auto" w:fill="FFFFFF"/>
        <w:spacing w:after="324" w:line="360" w:lineRule="auto"/>
        <w:jc w:val="center"/>
        <w:rPr>
          <w:b/>
          <w:color w:val="000000"/>
        </w:rPr>
      </w:pPr>
      <w:r>
        <w:rPr>
          <w:b/>
          <w:color w:val="000000"/>
        </w:rPr>
        <w:t>ANEXO IV – DECLARAÇÃO DE VALOR ECONÔMICO DO BEM</w:t>
      </w:r>
    </w:p>
    <w:p w:rsidR="00D820A4" w:rsidRDefault="00D820A4" w:rsidP="00D820A4">
      <w:pPr>
        <w:shd w:val="clear" w:color="auto" w:fill="FFFFFF"/>
        <w:spacing w:after="324" w:line="360" w:lineRule="auto"/>
        <w:jc w:val="center"/>
        <w:rPr>
          <w:b/>
          <w:color w:val="000000"/>
          <w:u w:val="single"/>
        </w:rPr>
      </w:pPr>
      <w:r>
        <w:rPr>
          <w:b/>
          <w:color w:val="000000"/>
          <w:u w:val="single"/>
        </w:rPr>
        <w:t>DECLARAÇÃO</w:t>
      </w:r>
    </w:p>
    <w:p w:rsidR="00D820A4" w:rsidRPr="00677950" w:rsidRDefault="00D820A4" w:rsidP="00D820A4">
      <w:pPr>
        <w:shd w:val="clear" w:color="auto" w:fill="FFFFFF"/>
        <w:spacing w:after="324" w:line="360" w:lineRule="auto"/>
        <w:jc w:val="both"/>
        <w:rPr>
          <w:color w:val="000000"/>
          <w:sz w:val="28"/>
          <w:szCs w:val="28"/>
        </w:rPr>
      </w:pPr>
      <w:r w:rsidRPr="00677950">
        <w:rPr>
          <w:b/>
          <w:color w:val="000000"/>
          <w:sz w:val="28"/>
          <w:szCs w:val="28"/>
        </w:rPr>
        <w:t xml:space="preserve">Eu, </w:t>
      </w:r>
      <w:r w:rsidR="00677950" w:rsidRPr="00677950">
        <w:rPr>
          <w:b/>
          <w:color w:val="000000"/>
          <w:sz w:val="28"/>
          <w:szCs w:val="28"/>
        </w:rPr>
        <w:t>___________________________________</w:t>
      </w:r>
      <w:proofErr w:type="gramStart"/>
      <w:r w:rsidR="00677950" w:rsidRPr="00677950">
        <w:rPr>
          <w:b/>
          <w:color w:val="000000"/>
          <w:sz w:val="28"/>
          <w:szCs w:val="28"/>
        </w:rPr>
        <w:t>(</w:t>
      </w:r>
      <w:proofErr w:type="gramEnd"/>
      <w:r w:rsidR="00677950" w:rsidRPr="00677950">
        <w:rPr>
          <w:b/>
          <w:color w:val="000000"/>
          <w:sz w:val="28"/>
          <w:szCs w:val="28"/>
        </w:rPr>
        <w:t>cedente)</w:t>
      </w:r>
      <w:r w:rsidRPr="00677950">
        <w:rPr>
          <w:b/>
          <w:color w:val="000000"/>
          <w:sz w:val="28"/>
          <w:szCs w:val="28"/>
        </w:rPr>
        <w:t xml:space="preserve">,  Portador  do CPF n°. </w:t>
      </w:r>
      <w:r w:rsidR="008625F7" w:rsidRPr="00677950">
        <w:rPr>
          <w:b/>
          <w:color w:val="000000"/>
          <w:sz w:val="28"/>
          <w:szCs w:val="28"/>
        </w:rPr>
        <w:t>350.067.798-37</w:t>
      </w:r>
      <w:r w:rsidRPr="00677950">
        <w:rPr>
          <w:b/>
          <w:color w:val="000000"/>
          <w:sz w:val="28"/>
          <w:szCs w:val="28"/>
        </w:rPr>
        <w:t xml:space="preserve">  e  RG. n°. </w:t>
      </w:r>
      <w:r w:rsidR="00677950" w:rsidRPr="00677950">
        <w:rPr>
          <w:b/>
          <w:color w:val="000000"/>
          <w:sz w:val="28"/>
          <w:szCs w:val="28"/>
        </w:rPr>
        <w:t>________________________</w:t>
      </w:r>
      <w:r w:rsidRPr="00677950">
        <w:rPr>
          <w:b/>
          <w:color w:val="000000"/>
          <w:sz w:val="28"/>
          <w:szCs w:val="28"/>
        </w:rPr>
        <w:t xml:space="preserve">, residente e domiciliado na Rua/Av. </w:t>
      </w:r>
      <w:r w:rsidR="00677950" w:rsidRPr="00677950">
        <w:rPr>
          <w:b/>
          <w:color w:val="000000"/>
          <w:sz w:val="28"/>
          <w:szCs w:val="28"/>
        </w:rPr>
        <w:t>______________________________</w:t>
      </w:r>
      <w:r w:rsidR="008625F7" w:rsidRPr="00677950">
        <w:rPr>
          <w:b/>
          <w:color w:val="000000"/>
          <w:sz w:val="28"/>
          <w:szCs w:val="28"/>
        </w:rPr>
        <w:t xml:space="preserve">, </w:t>
      </w:r>
      <w:r w:rsidR="001F3012" w:rsidRPr="00677950">
        <w:rPr>
          <w:b/>
          <w:color w:val="000000"/>
          <w:sz w:val="28"/>
          <w:szCs w:val="28"/>
        </w:rPr>
        <w:t xml:space="preserve">n°. </w:t>
      </w:r>
      <w:r w:rsidR="00677950" w:rsidRPr="00677950">
        <w:rPr>
          <w:b/>
          <w:color w:val="000000"/>
          <w:sz w:val="28"/>
          <w:szCs w:val="28"/>
        </w:rPr>
        <w:t>_____</w:t>
      </w:r>
      <w:r w:rsidR="001F3012" w:rsidRPr="00677950">
        <w:rPr>
          <w:b/>
          <w:color w:val="000000"/>
          <w:sz w:val="28"/>
          <w:szCs w:val="28"/>
        </w:rPr>
        <w:t>–</w:t>
      </w:r>
      <w:r w:rsidRPr="00677950">
        <w:rPr>
          <w:b/>
          <w:color w:val="000000"/>
          <w:sz w:val="28"/>
          <w:szCs w:val="28"/>
        </w:rPr>
        <w:t xml:space="preserve"> Bairro</w:t>
      </w:r>
      <w:r w:rsidR="001F3012" w:rsidRPr="00677950">
        <w:rPr>
          <w:b/>
          <w:color w:val="000000"/>
          <w:sz w:val="28"/>
          <w:szCs w:val="28"/>
        </w:rPr>
        <w:t xml:space="preserve"> </w:t>
      </w:r>
      <w:r w:rsidR="00677950" w:rsidRPr="00677950">
        <w:rPr>
          <w:b/>
          <w:color w:val="000000"/>
          <w:sz w:val="28"/>
          <w:szCs w:val="28"/>
        </w:rPr>
        <w:t>_________________</w:t>
      </w:r>
      <w:r w:rsidRPr="00677950">
        <w:rPr>
          <w:b/>
          <w:color w:val="000000"/>
          <w:sz w:val="28"/>
          <w:szCs w:val="28"/>
        </w:rPr>
        <w:t xml:space="preserve">, na Cidade de </w:t>
      </w:r>
      <w:r w:rsidR="00677950" w:rsidRPr="00677950">
        <w:rPr>
          <w:b/>
          <w:color w:val="000000"/>
          <w:sz w:val="28"/>
          <w:szCs w:val="28"/>
        </w:rPr>
        <w:t>________________</w:t>
      </w:r>
      <w:r w:rsidRPr="00677950">
        <w:rPr>
          <w:b/>
          <w:color w:val="000000"/>
          <w:sz w:val="28"/>
          <w:szCs w:val="28"/>
        </w:rPr>
        <w:t>, denominado</w:t>
      </w:r>
      <w:r w:rsidRPr="00677950">
        <w:rPr>
          <w:color w:val="000000"/>
          <w:sz w:val="28"/>
          <w:szCs w:val="28"/>
        </w:rPr>
        <w:t xml:space="preserve"> </w:t>
      </w:r>
      <w:r w:rsidR="001F3012" w:rsidRPr="00677950">
        <w:rPr>
          <w:b/>
          <w:color w:val="000000"/>
          <w:sz w:val="28"/>
          <w:szCs w:val="28"/>
        </w:rPr>
        <w:t>CEDENTE</w:t>
      </w:r>
      <w:r w:rsidRPr="00677950">
        <w:rPr>
          <w:b/>
          <w:color w:val="000000"/>
          <w:sz w:val="28"/>
          <w:szCs w:val="28"/>
        </w:rPr>
        <w:t>,</w:t>
      </w:r>
      <w:r w:rsidRPr="00677950">
        <w:rPr>
          <w:color w:val="000000"/>
          <w:sz w:val="28"/>
          <w:szCs w:val="28"/>
        </w:rPr>
        <w:t xml:space="preserve">   e  </w:t>
      </w:r>
      <w:r w:rsidR="00677950" w:rsidRPr="00677950">
        <w:rPr>
          <w:color w:val="000000"/>
          <w:sz w:val="28"/>
          <w:szCs w:val="28"/>
        </w:rPr>
        <w:t>____________________________________________</w:t>
      </w:r>
      <w:r w:rsidRPr="00677950">
        <w:rPr>
          <w:color w:val="000000"/>
          <w:sz w:val="28"/>
          <w:szCs w:val="28"/>
        </w:rPr>
        <w:t xml:space="preserve">, Portador do CPF n°. </w:t>
      </w:r>
      <w:r w:rsidR="00677950" w:rsidRPr="00677950">
        <w:rPr>
          <w:b/>
          <w:color w:val="000000"/>
          <w:sz w:val="28"/>
          <w:szCs w:val="28"/>
        </w:rPr>
        <w:t>_____________________(cessionário)</w:t>
      </w:r>
      <w:r w:rsidRPr="00677950">
        <w:rPr>
          <w:b/>
          <w:color w:val="000000"/>
          <w:sz w:val="28"/>
          <w:szCs w:val="28"/>
        </w:rPr>
        <w:t xml:space="preserve"> e  RG n°. </w:t>
      </w:r>
      <w:r w:rsidR="00677950" w:rsidRPr="00677950">
        <w:rPr>
          <w:b/>
          <w:color w:val="000000"/>
          <w:sz w:val="28"/>
          <w:szCs w:val="28"/>
        </w:rPr>
        <w:t>_______________________</w:t>
      </w:r>
      <w:r w:rsidRPr="00677950">
        <w:rPr>
          <w:b/>
          <w:color w:val="000000"/>
          <w:sz w:val="28"/>
          <w:szCs w:val="28"/>
        </w:rPr>
        <w:t xml:space="preserve"> , residente e domiciliado na Rua/Av.</w:t>
      </w:r>
      <w:r w:rsidR="001F3012" w:rsidRPr="00677950">
        <w:rPr>
          <w:b/>
          <w:color w:val="000000"/>
          <w:sz w:val="28"/>
          <w:szCs w:val="28"/>
        </w:rPr>
        <w:t xml:space="preserve"> </w:t>
      </w:r>
      <w:r w:rsidR="00677950" w:rsidRPr="00677950">
        <w:rPr>
          <w:b/>
          <w:color w:val="000000"/>
          <w:sz w:val="28"/>
          <w:szCs w:val="28"/>
        </w:rPr>
        <w:t>___________________</w:t>
      </w:r>
      <w:r w:rsidR="001F3012" w:rsidRPr="00677950">
        <w:rPr>
          <w:b/>
          <w:color w:val="000000"/>
          <w:sz w:val="28"/>
          <w:szCs w:val="28"/>
        </w:rPr>
        <w:t xml:space="preserve">, nº. </w:t>
      </w:r>
      <w:r w:rsidR="00677950" w:rsidRPr="00677950">
        <w:rPr>
          <w:b/>
          <w:color w:val="000000"/>
          <w:sz w:val="28"/>
          <w:szCs w:val="28"/>
        </w:rPr>
        <w:t>___________</w:t>
      </w:r>
      <w:r w:rsidRPr="00677950">
        <w:rPr>
          <w:b/>
          <w:color w:val="000000"/>
          <w:sz w:val="28"/>
          <w:szCs w:val="28"/>
        </w:rPr>
        <w:t>,</w:t>
      </w:r>
      <w:proofErr w:type="gramStart"/>
      <w:r w:rsidRPr="00677950">
        <w:rPr>
          <w:b/>
          <w:color w:val="000000"/>
          <w:sz w:val="28"/>
          <w:szCs w:val="28"/>
        </w:rPr>
        <w:t xml:space="preserve">   </w:t>
      </w:r>
      <w:proofErr w:type="gramEnd"/>
      <w:r w:rsidRPr="00677950">
        <w:rPr>
          <w:b/>
          <w:color w:val="000000"/>
          <w:sz w:val="28"/>
          <w:szCs w:val="28"/>
        </w:rPr>
        <w:t>Bairro</w:t>
      </w:r>
      <w:r w:rsidR="001F3012" w:rsidRPr="00677950">
        <w:rPr>
          <w:b/>
          <w:color w:val="000000"/>
          <w:sz w:val="28"/>
          <w:szCs w:val="28"/>
        </w:rPr>
        <w:t xml:space="preserve"> </w:t>
      </w:r>
      <w:r w:rsidR="00677950" w:rsidRPr="00677950">
        <w:rPr>
          <w:b/>
          <w:color w:val="000000"/>
          <w:sz w:val="28"/>
          <w:szCs w:val="28"/>
        </w:rPr>
        <w:t>_______________</w:t>
      </w:r>
      <w:r w:rsidRPr="00677950">
        <w:rPr>
          <w:b/>
          <w:color w:val="000000"/>
          <w:sz w:val="28"/>
          <w:szCs w:val="28"/>
        </w:rPr>
        <w:t>, na Cidade de</w:t>
      </w:r>
      <w:r w:rsidR="001F3012" w:rsidRPr="00677950">
        <w:rPr>
          <w:b/>
          <w:color w:val="000000"/>
          <w:sz w:val="28"/>
          <w:szCs w:val="28"/>
        </w:rPr>
        <w:t xml:space="preserve"> </w:t>
      </w:r>
      <w:r w:rsidR="00677950" w:rsidRPr="00677950">
        <w:rPr>
          <w:b/>
          <w:color w:val="000000"/>
          <w:sz w:val="28"/>
          <w:szCs w:val="28"/>
        </w:rPr>
        <w:t>___________________</w:t>
      </w:r>
      <w:r w:rsidRPr="00677950">
        <w:rPr>
          <w:b/>
          <w:color w:val="000000"/>
          <w:sz w:val="28"/>
          <w:szCs w:val="28"/>
        </w:rPr>
        <w:t xml:space="preserve">, denominado </w:t>
      </w:r>
      <w:r w:rsidR="001F3012" w:rsidRPr="00677950">
        <w:rPr>
          <w:b/>
          <w:color w:val="000000"/>
          <w:sz w:val="28"/>
          <w:szCs w:val="28"/>
        </w:rPr>
        <w:t>CESSIONARIA</w:t>
      </w:r>
      <w:r w:rsidRPr="00677950">
        <w:rPr>
          <w:b/>
          <w:color w:val="000000"/>
          <w:sz w:val="28"/>
          <w:szCs w:val="28"/>
        </w:rPr>
        <w:t>,  infra signatário (a),</w:t>
      </w:r>
      <w:r w:rsidRPr="00677950">
        <w:rPr>
          <w:color w:val="000000"/>
          <w:sz w:val="28"/>
          <w:szCs w:val="28"/>
        </w:rPr>
        <w:t xml:space="preserve"> </w:t>
      </w:r>
      <w:r w:rsidRPr="00677950">
        <w:rPr>
          <w:b/>
          <w:color w:val="000000"/>
          <w:sz w:val="28"/>
          <w:szCs w:val="28"/>
        </w:rPr>
        <w:t>declaramos para os devidos fins de direito e sob as penas da Lei, entre eles o cometimento do crime de falsidade ideológica</w:t>
      </w:r>
      <w:r w:rsidRPr="00677950">
        <w:rPr>
          <w:color w:val="000000"/>
          <w:sz w:val="28"/>
          <w:szCs w:val="28"/>
        </w:rPr>
        <w:t xml:space="preserve"> </w:t>
      </w:r>
      <w:r w:rsidRPr="00677950">
        <w:rPr>
          <w:b/>
          <w:color w:val="000000"/>
          <w:sz w:val="28"/>
          <w:szCs w:val="28"/>
        </w:rPr>
        <w:t>e do crime contra a ordem tributária,</w:t>
      </w:r>
      <w:r w:rsidRPr="00677950">
        <w:rPr>
          <w:color w:val="000000"/>
          <w:sz w:val="28"/>
          <w:szCs w:val="28"/>
        </w:rPr>
        <w:t xml:space="preserve"> que o preço ou valor econômico ou o valor do negócio jurídico referente ao  imóvel com Inscrição Imobiliária:  </w:t>
      </w:r>
      <w:r w:rsidR="004C6903" w:rsidRPr="00677950">
        <w:rPr>
          <w:color w:val="000000"/>
          <w:sz w:val="28"/>
          <w:szCs w:val="28"/>
        </w:rPr>
        <w:t>0438.</w:t>
      </w:r>
      <w:r w:rsidR="004C6903" w:rsidRPr="00677950">
        <w:rPr>
          <w:sz w:val="28"/>
          <w:szCs w:val="28"/>
        </w:rPr>
        <w:t xml:space="preserve"> </w:t>
      </w:r>
      <w:r w:rsidR="004C6903" w:rsidRPr="00677950">
        <w:rPr>
          <w:color w:val="000000"/>
          <w:sz w:val="28"/>
          <w:szCs w:val="28"/>
        </w:rPr>
        <w:t>0166</w:t>
      </w:r>
      <w:r w:rsidRPr="00677950">
        <w:rPr>
          <w:color w:val="000000"/>
          <w:sz w:val="28"/>
          <w:szCs w:val="28"/>
        </w:rPr>
        <w:t xml:space="preserve"> e Matrícula </w:t>
      </w:r>
      <w:proofErr w:type="gramStart"/>
      <w:r w:rsidRPr="00677950">
        <w:rPr>
          <w:color w:val="000000"/>
          <w:sz w:val="28"/>
          <w:szCs w:val="28"/>
        </w:rPr>
        <w:t>nº.</w:t>
      </w:r>
      <w:proofErr w:type="gramEnd"/>
      <w:r w:rsidR="004C6903" w:rsidRPr="00677950">
        <w:rPr>
          <w:color w:val="000000"/>
          <w:sz w:val="28"/>
          <w:szCs w:val="28"/>
        </w:rPr>
        <w:t>12.763</w:t>
      </w:r>
      <w:r w:rsidRPr="00677950">
        <w:rPr>
          <w:color w:val="000000"/>
          <w:sz w:val="28"/>
          <w:szCs w:val="28"/>
        </w:rPr>
        <w:t xml:space="preserve">  da Serventia Registral de Imóveis de Santa Rosa de Viterbo – SP, para fins do recolhimento do ITBI Municipal, em conformidade com o Código Tributário Nacional e com as decisões do Superior Tribunal de Justiça abaixo citadas é de  R$ </w:t>
      </w:r>
      <w:r w:rsidR="00677950" w:rsidRPr="00677950">
        <w:rPr>
          <w:color w:val="000000"/>
          <w:sz w:val="28"/>
          <w:szCs w:val="28"/>
        </w:rPr>
        <w:t>___________________</w:t>
      </w:r>
      <w:r w:rsidRPr="00677950">
        <w:rPr>
          <w:color w:val="000000"/>
          <w:sz w:val="28"/>
          <w:szCs w:val="28"/>
        </w:rPr>
        <w:t>.</w:t>
      </w:r>
    </w:p>
    <w:p w:rsidR="00D820A4" w:rsidRDefault="00D820A4" w:rsidP="00D820A4">
      <w:pPr>
        <w:shd w:val="clear" w:color="auto" w:fill="FFFFFF"/>
        <w:spacing w:after="324" w:line="360" w:lineRule="auto"/>
        <w:jc w:val="both"/>
        <w:rPr>
          <w:b/>
          <w:color w:val="000000"/>
          <w:sz w:val="22"/>
          <w:szCs w:val="22"/>
          <w:shd w:val="clear" w:color="auto" w:fill="FFFFFF"/>
        </w:rPr>
      </w:pPr>
      <w:r>
        <w:rPr>
          <w:b/>
          <w:color w:val="000000"/>
          <w:sz w:val="22"/>
          <w:szCs w:val="22"/>
          <w:u w:val="single"/>
          <w:shd w:val="clear" w:color="auto" w:fill="FFFFFF"/>
        </w:rPr>
        <w:t>Artigo 299 do Código Penal</w:t>
      </w:r>
      <w:r>
        <w:rPr>
          <w:b/>
          <w:color w:val="000000"/>
          <w:sz w:val="22"/>
          <w:szCs w:val="22"/>
          <w:shd w:val="clear" w:color="auto" w:fill="FFFFFF"/>
        </w:rPr>
        <w:t xml:space="preserve"> - Crime de falsidade ideológica </w:t>
      </w:r>
      <w:r>
        <w:rPr>
          <w:color w:val="000000"/>
          <w:sz w:val="22"/>
          <w:szCs w:val="22"/>
          <w:shd w:val="clear" w:color="auto" w:fill="FFFFFF"/>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Pr>
          <w:b/>
          <w:color w:val="000000"/>
          <w:sz w:val="22"/>
          <w:szCs w:val="22"/>
          <w:shd w:val="clear" w:color="auto" w:fill="FFFFFF"/>
        </w:rPr>
        <w:t xml:space="preserve"> </w:t>
      </w:r>
      <w:r>
        <w:rPr>
          <w:b/>
          <w:color w:val="000000"/>
          <w:sz w:val="22"/>
          <w:szCs w:val="22"/>
          <w:u w:val="single"/>
          <w:shd w:val="clear" w:color="auto" w:fill="FFFFFF"/>
        </w:rPr>
        <w:t>A pena</w:t>
      </w:r>
      <w:r>
        <w:rPr>
          <w:b/>
          <w:color w:val="000000"/>
          <w:sz w:val="22"/>
          <w:szCs w:val="22"/>
          <w:shd w:val="clear" w:color="auto" w:fill="FFFFFF"/>
        </w:rPr>
        <w:t xml:space="preserve"> para essa modalidade criminal é de </w:t>
      </w:r>
      <w:r>
        <w:rPr>
          <w:b/>
          <w:color w:val="000000"/>
          <w:sz w:val="22"/>
          <w:szCs w:val="22"/>
          <w:u w:val="single"/>
          <w:shd w:val="clear" w:color="auto" w:fill="FFFFFF"/>
        </w:rPr>
        <w:t>reclusão de um a cinco anos e multa</w:t>
      </w:r>
      <w:r>
        <w:rPr>
          <w:b/>
          <w:color w:val="000000"/>
          <w:sz w:val="22"/>
          <w:szCs w:val="22"/>
          <w:shd w:val="clear" w:color="auto" w:fill="FFFFFF"/>
        </w:rPr>
        <w:t>, se o documento for público, ou reclusão de um a três anos e multa, se o documento for particular.</w:t>
      </w:r>
    </w:p>
    <w:p w:rsidR="00D820A4" w:rsidRDefault="00D820A4" w:rsidP="00D820A4">
      <w:pPr>
        <w:shd w:val="clear" w:color="auto" w:fill="FFFFFF"/>
        <w:spacing w:after="324"/>
        <w:jc w:val="both"/>
        <w:rPr>
          <w:color w:val="000000"/>
          <w:sz w:val="22"/>
          <w:szCs w:val="22"/>
          <w:shd w:val="clear" w:color="auto" w:fill="FFFFFF"/>
        </w:rPr>
      </w:pPr>
      <w:r>
        <w:rPr>
          <w:b/>
          <w:color w:val="000000"/>
          <w:sz w:val="22"/>
          <w:szCs w:val="22"/>
          <w:u w:val="single"/>
          <w:shd w:val="clear" w:color="auto" w:fill="FFFFFF"/>
        </w:rPr>
        <w:t>Artigo 1º da Lei 8137 de 1990</w:t>
      </w:r>
      <w:r>
        <w:rPr>
          <w:b/>
          <w:color w:val="000000"/>
          <w:sz w:val="22"/>
          <w:szCs w:val="22"/>
          <w:shd w:val="clear" w:color="auto" w:fill="FFFFFF"/>
        </w:rPr>
        <w:t xml:space="preserve">: </w:t>
      </w:r>
      <w:r>
        <w:rPr>
          <w:color w:val="000000"/>
          <w:sz w:val="22"/>
          <w:szCs w:val="22"/>
          <w:shd w:val="clear" w:color="auto" w:fill="FFFFFF"/>
        </w:rPr>
        <w:t>“</w:t>
      </w:r>
      <w:r>
        <w:rPr>
          <w:b/>
          <w:color w:val="000000"/>
          <w:sz w:val="22"/>
          <w:szCs w:val="22"/>
          <w:shd w:val="clear" w:color="auto" w:fill="FFFFFF"/>
        </w:rPr>
        <w:t>Co</w:t>
      </w:r>
      <w:r>
        <w:rPr>
          <w:b/>
          <w:color w:val="000000"/>
          <w:sz w:val="22"/>
          <w:szCs w:val="22"/>
        </w:rPr>
        <w:t>nstitui crime contra a ordem tributária suprimir ou reduzir tributo</w:t>
      </w:r>
      <w:r>
        <w:rPr>
          <w:color w:val="000000"/>
          <w:sz w:val="22"/>
          <w:szCs w:val="22"/>
        </w:rPr>
        <w:t xml:space="preserve">, ou contribuição social e qualquer acessório, mediante as seguintes condutas: </w:t>
      </w:r>
      <w:r>
        <w:rPr>
          <w:b/>
          <w:color w:val="000000"/>
          <w:sz w:val="22"/>
          <w:szCs w:val="22"/>
        </w:rPr>
        <w:t xml:space="preserve">I - </w:t>
      </w:r>
      <w:r>
        <w:rPr>
          <w:b/>
          <w:color w:val="000000"/>
          <w:sz w:val="22"/>
          <w:szCs w:val="22"/>
        </w:rPr>
        <w:lastRenderedPageBreak/>
        <w:t>omitir informação, ou prestar declaração falsa às autoridades fazendárias; II - fraudar a fiscalização tributária, inserindo elementos inexatos, ou omitindo operação de qualquer natureza, em documento ou livro exigido pela lei fiscal</w:t>
      </w:r>
      <w:r>
        <w:rPr>
          <w:color w:val="000000"/>
          <w:sz w:val="22"/>
          <w:szCs w:val="22"/>
        </w:rPr>
        <w:t>; III - falsificar ou alterar nota fiscal</w:t>
      </w:r>
      <w:proofErr w:type="gramStart"/>
      <w:r>
        <w:rPr>
          <w:color w:val="000000"/>
          <w:sz w:val="22"/>
          <w:szCs w:val="22"/>
        </w:rPr>
        <w:t>, fatura</w:t>
      </w:r>
      <w:proofErr w:type="gramEnd"/>
      <w:r>
        <w:rPr>
          <w:color w:val="000000"/>
          <w:sz w:val="22"/>
          <w:szCs w:val="22"/>
        </w:rPr>
        <w:t xml:space="preserve">, duplicata, nota de venda, ou qualquer outro documento relativo à operação tributável; IV - elaborar, distribuir, fornecer, emitir ou utilizar documento que saiba ou deva saber falso ou inexato; V - negar ou deixar de fornecer, quando obrigatório, nota fiscal ou documento equivalente, relativa a venda de mercadoria ou prestação de serviço, efetivamente realizada, ou fornecê-la em desacordo com a legislação. </w:t>
      </w:r>
      <w:r>
        <w:rPr>
          <w:b/>
          <w:color w:val="000000"/>
          <w:sz w:val="22"/>
          <w:szCs w:val="22"/>
          <w:u w:val="single"/>
        </w:rPr>
        <w:t>Pena - reclusão de 2 (dois) a 5 (cinco) anos, e multa</w:t>
      </w:r>
      <w:r>
        <w:rPr>
          <w:b/>
          <w:color w:val="000000"/>
          <w:sz w:val="22"/>
          <w:szCs w:val="22"/>
        </w:rPr>
        <w:t>.</w:t>
      </w:r>
      <w:r>
        <w:rPr>
          <w:color w:val="000000"/>
          <w:sz w:val="22"/>
          <w:szCs w:val="22"/>
          <w:shd w:val="clear" w:color="auto" w:fill="FFFFFF"/>
        </w:rPr>
        <w:t> </w:t>
      </w:r>
    </w:p>
    <w:p w:rsidR="00D820A4" w:rsidRDefault="00D820A4" w:rsidP="00D820A4">
      <w:pPr>
        <w:shd w:val="clear" w:color="auto" w:fill="FFFFFF"/>
        <w:spacing w:after="324"/>
        <w:jc w:val="both"/>
        <w:rPr>
          <w:sz w:val="22"/>
          <w:szCs w:val="22"/>
        </w:rPr>
      </w:pPr>
      <w:r>
        <w:rPr>
          <w:b/>
          <w:color w:val="000000"/>
          <w:sz w:val="22"/>
          <w:szCs w:val="22"/>
          <w:u w:val="single"/>
        </w:rPr>
        <w:t>STJ -</w:t>
      </w:r>
      <w:r>
        <w:rPr>
          <w:color w:val="000000"/>
          <w:sz w:val="22"/>
          <w:szCs w:val="22"/>
        </w:rPr>
        <w:t xml:space="preserve"> </w:t>
      </w:r>
      <w:r>
        <w:rPr>
          <w:b/>
          <w:color w:val="000000"/>
          <w:sz w:val="22"/>
          <w:szCs w:val="22"/>
        </w:rPr>
        <w:t>O Imposto sobre Transmissão de Bens Imóveis (ITBI) deve ser calculado sobre o valor efetivo da venda do bem, mesmo que este seja maior do que o valor venal adotado como base de cálculo para o lançamento do Imposto Predial e Territorial Urbano (IPTU),</w:t>
      </w:r>
      <w:r>
        <w:rPr>
          <w:color w:val="000000"/>
          <w:sz w:val="22"/>
          <w:szCs w:val="22"/>
        </w:rPr>
        <w:t xml:space="preserve"> conforme decisão da Segunda Turma do Superior Tribunal de Justiça (STJ), proferida no </w:t>
      </w:r>
      <w:proofErr w:type="spellStart"/>
      <w:r>
        <w:rPr>
          <w:color w:val="000000"/>
          <w:sz w:val="22"/>
          <w:szCs w:val="22"/>
        </w:rPr>
        <w:t>Resp</w:t>
      </w:r>
      <w:proofErr w:type="spellEnd"/>
      <w:r>
        <w:rPr>
          <w:color w:val="000000"/>
          <w:sz w:val="22"/>
          <w:szCs w:val="22"/>
        </w:rPr>
        <w:t xml:space="preserve"> 1199964, que proveu recurso do município de São Paulo, cujo julgado restou assim ementado:</w:t>
      </w:r>
    </w:p>
    <w:p w:rsidR="00D820A4" w:rsidRDefault="00D820A4" w:rsidP="00D820A4">
      <w:pPr>
        <w:spacing w:after="200"/>
        <w:jc w:val="both"/>
        <w:rPr>
          <w:rFonts w:eastAsia="Calibri"/>
          <w:color w:val="000000"/>
          <w:sz w:val="22"/>
          <w:szCs w:val="22"/>
          <w:lang w:eastAsia="en-US"/>
        </w:rPr>
      </w:pPr>
      <w:r>
        <w:rPr>
          <w:rFonts w:eastAsia="Calibri"/>
          <w:b/>
          <w:color w:val="000000"/>
          <w:sz w:val="22"/>
          <w:szCs w:val="22"/>
          <w:lang w:eastAsia="en-US"/>
        </w:rPr>
        <w:t>“TRIBUTÁRIO. ITBI. IPTU. BASE DE CÁLCULO. VALOR VENAL. IDENTIDADE NECESSÁRIA. INEXISTÊNCIA</w:t>
      </w:r>
      <w:r>
        <w:rPr>
          <w:rFonts w:eastAsia="Calibri"/>
          <w:color w:val="000000"/>
          <w:sz w:val="22"/>
          <w:szCs w:val="22"/>
          <w:lang w:eastAsia="en-US"/>
        </w:rPr>
        <w:t xml:space="preserve">. </w:t>
      </w:r>
      <w:proofErr w:type="gramStart"/>
      <w:r>
        <w:rPr>
          <w:rFonts w:eastAsia="Calibri"/>
          <w:color w:val="000000"/>
          <w:sz w:val="22"/>
          <w:szCs w:val="22"/>
          <w:lang w:eastAsia="en-US"/>
        </w:rPr>
        <w:t>1</w:t>
      </w:r>
      <w:proofErr w:type="gramEnd"/>
      <w:r>
        <w:rPr>
          <w:rFonts w:eastAsia="Calibri"/>
          <w:color w:val="000000"/>
          <w:sz w:val="22"/>
          <w:szCs w:val="22"/>
          <w:lang w:eastAsia="en-US"/>
        </w:rPr>
        <w:t xml:space="preserve">. O valor venal do imóvel apurado par fins de ITBI não coincide necessariamente com aquele adotado para o lançamento do IPTU. Precedentes: </w:t>
      </w:r>
      <w:proofErr w:type="spellStart"/>
      <w:r>
        <w:rPr>
          <w:rFonts w:eastAsia="Calibri"/>
          <w:color w:val="000000"/>
          <w:sz w:val="22"/>
          <w:szCs w:val="22"/>
          <w:lang w:eastAsia="en-US"/>
        </w:rPr>
        <w:t>AgR</w:t>
      </w:r>
      <w:proofErr w:type="spellEnd"/>
      <w:r>
        <w:rPr>
          <w:rFonts w:eastAsia="Calibri"/>
          <w:color w:val="000000"/>
          <w:sz w:val="22"/>
          <w:szCs w:val="22"/>
          <w:lang w:eastAsia="en-US"/>
        </w:rPr>
        <w:t xml:space="preserve"> no </w:t>
      </w:r>
      <w:proofErr w:type="spellStart"/>
      <w:r>
        <w:rPr>
          <w:rFonts w:eastAsia="Calibri"/>
          <w:color w:val="000000"/>
          <w:sz w:val="22"/>
          <w:szCs w:val="22"/>
          <w:lang w:eastAsia="en-US"/>
        </w:rPr>
        <w:t>REsp</w:t>
      </w:r>
      <w:proofErr w:type="spellEnd"/>
      <w:r>
        <w:rPr>
          <w:rFonts w:eastAsia="Calibri"/>
          <w:color w:val="000000"/>
          <w:sz w:val="22"/>
          <w:szCs w:val="22"/>
          <w:lang w:eastAsia="en-US"/>
        </w:rPr>
        <w:t xml:space="preserve"> 1.26.872/SP, Rel. </w:t>
      </w:r>
      <w:proofErr w:type="spellStart"/>
      <w:r>
        <w:rPr>
          <w:rFonts w:eastAsia="Calibri"/>
          <w:color w:val="000000"/>
          <w:sz w:val="22"/>
          <w:szCs w:val="22"/>
          <w:lang w:eastAsia="en-US"/>
        </w:rPr>
        <w:t>Minstro</w:t>
      </w:r>
      <w:proofErr w:type="spellEnd"/>
      <w:r>
        <w:rPr>
          <w:rFonts w:eastAsia="Calibri"/>
          <w:color w:val="000000"/>
          <w:sz w:val="22"/>
          <w:szCs w:val="22"/>
          <w:lang w:eastAsia="en-US"/>
        </w:rPr>
        <w:t xml:space="preserve"> Castro Meira, </w:t>
      </w:r>
      <w:proofErr w:type="spellStart"/>
      <w:r>
        <w:rPr>
          <w:rFonts w:eastAsia="Calibri"/>
          <w:color w:val="000000"/>
          <w:sz w:val="22"/>
          <w:szCs w:val="22"/>
          <w:lang w:eastAsia="en-US"/>
        </w:rPr>
        <w:t>DJe</w:t>
      </w:r>
      <w:proofErr w:type="spellEnd"/>
      <w:r>
        <w:rPr>
          <w:rFonts w:eastAsia="Calibri"/>
          <w:color w:val="000000"/>
          <w:sz w:val="22"/>
          <w:szCs w:val="22"/>
          <w:lang w:eastAsia="en-US"/>
        </w:rPr>
        <w:t xml:space="preserve"> 23.42012; </w:t>
      </w:r>
      <w:proofErr w:type="spellStart"/>
      <w:r>
        <w:rPr>
          <w:rFonts w:eastAsia="Calibri"/>
          <w:color w:val="000000"/>
          <w:sz w:val="22"/>
          <w:szCs w:val="22"/>
          <w:lang w:eastAsia="en-US"/>
        </w:rPr>
        <w:t>AgR</w:t>
      </w:r>
      <w:proofErr w:type="spellEnd"/>
      <w:r>
        <w:rPr>
          <w:rFonts w:eastAsia="Calibri"/>
          <w:color w:val="000000"/>
          <w:sz w:val="22"/>
          <w:szCs w:val="22"/>
          <w:lang w:eastAsia="en-US"/>
        </w:rPr>
        <w:t xml:space="preserve"> no </w:t>
      </w:r>
      <w:proofErr w:type="spellStart"/>
      <w:r>
        <w:rPr>
          <w:rFonts w:eastAsia="Calibri"/>
          <w:color w:val="000000"/>
          <w:sz w:val="22"/>
          <w:szCs w:val="22"/>
          <w:lang w:eastAsia="en-US"/>
        </w:rPr>
        <w:t>AREsp</w:t>
      </w:r>
      <w:proofErr w:type="spellEnd"/>
      <w:r>
        <w:rPr>
          <w:rFonts w:eastAsia="Calibri"/>
          <w:color w:val="000000"/>
          <w:sz w:val="22"/>
          <w:szCs w:val="22"/>
          <w:lang w:eastAsia="en-US"/>
        </w:rPr>
        <w:t xml:space="preserve"> 36.740/RS, Rel. Ministro Humberto Martins, </w:t>
      </w:r>
      <w:proofErr w:type="spellStart"/>
      <w:r>
        <w:rPr>
          <w:rFonts w:eastAsia="Calibri"/>
          <w:color w:val="000000"/>
          <w:sz w:val="22"/>
          <w:szCs w:val="22"/>
          <w:lang w:eastAsia="en-US"/>
        </w:rPr>
        <w:t>DJe</w:t>
      </w:r>
      <w:proofErr w:type="spellEnd"/>
      <w:r>
        <w:rPr>
          <w:rFonts w:eastAsia="Calibri"/>
          <w:color w:val="000000"/>
          <w:sz w:val="22"/>
          <w:szCs w:val="22"/>
          <w:lang w:eastAsia="en-US"/>
        </w:rPr>
        <w:t xml:space="preserve"> 2.1201; </w:t>
      </w:r>
      <w:proofErr w:type="spellStart"/>
      <w:r>
        <w:rPr>
          <w:rFonts w:eastAsia="Calibri"/>
          <w:color w:val="000000"/>
          <w:sz w:val="22"/>
          <w:szCs w:val="22"/>
          <w:lang w:eastAsia="en-US"/>
        </w:rPr>
        <w:t>AgR</w:t>
      </w:r>
      <w:proofErr w:type="spellEnd"/>
      <w:r>
        <w:rPr>
          <w:rFonts w:eastAsia="Calibri"/>
          <w:color w:val="000000"/>
          <w:sz w:val="22"/>
          <w:szCs w:val="22"/>
          <w:lang w:eastAsia="en-US"/>
        </w:rPr>
        <w:t xml:space="preserve"> </w:t>
      </w:r>
      <w:proofErr w:type="spellStart"/>
      <w:r>
        <w:rPr>
          <w:rFonts w:eastAsia="Calibri"/>
          <w:color w:val="000000"/>
          <w:sz w:val="22"/>
          <w:szCs w:val="22"/>
          <w:lang w:eastAsia="en-US"/>
        </w:rPr>
        <w:t>noAg</w:t>
      </w:r>
      <w:proofErr w:type="spellEnd"/>
      <w:r>
        <w:rPr>
          <w:rFonts w:eastAsia="Calibri"/>
          <w:color w:val="000000"/>
          <w:sz w:val="22"/>
          <w:szCs w:val="22"/>
          <w:lang w:eastAsia="en-US"/>
        </w:rPr>
        <w:t xml:space="preserve"> 1.20.95/SP, Rel. Ministro Herman Benjamin, </w:t>
      </w:r>
      <w:proofErr w:type="spellStart"/>
      <w:r>
        <w:rPr>
          <w:rFonts w:eastAsia="Calibri"/>
          <w:color w:val="000000"/>
          <w:sz w:val="22"/>
          <w:szCs w:val="22"/>
          <w:lang w:eastAsia="en-US"/>
        </w:rPr>
        <w:t>DJe</w:t>
      </w:r>
      <w:proofErr w:type="spellEnd"/>
      <w:r>
        <w:rPr>
          <w:rFonts w:eastAsia="Calibri"/>
          <w:color w:val="000000"/>
          <w:sz w:val="22"/>
          <w:szCs w:val="22"/>
          <w:lang w:eastAsia="en-US"/>
        </w:rPr>
        <w:t xml:space="preserve"> 1.9209.</w:t>
      </w:r>
    </w:p>
    <w:p w:rsidR="00D820A4" w:rsidRDefault="00D820A4" w:rsidP="00D820A4">
      <w:pPr>
        <w:spacing w:after="200"/>
        <w:jc w:val="both"/>
        <w:rPr>
          <w:rFonts w:eastAsia="Calibri"/>
          <w:color w:val="000000"/>
          <w:sz w:val="22"/>
          <w:szCs w:val="22"/>
          <w:lang w:eastAsia="en-US"/>
        </w:rPr>
      </w:pPr>
      <w:r>
        <w:rPr>
          <w:rFonts w:eastAsia="Calibri"/>
          <w:color w:val="000000"/>
          <w:sz w:val="22"/>
          <w:szCs w:val="22"/>
          <w:lang w:eastAsia="en-US"/>
        </w:rPr>
        <w:t xml:space="preserve">2. O TJ-SP, na presente demanda analisou única exclusivamente </w:t>
      </w:r>
      <w:proofErr w:type="gramStart"/>
      <w:r>
        <w:rPr>
          <w:rFonts w:eastAsia="Calibri"/>
          <w:color w:val="000000"/>
          <w:sz w:val="22"/>
          <w:szCs w:val="22"/>
          <w:lang w:eastAsia="en-US"/>
        </w:rPr>
        <w:t>a</w:t>
      </w:r>
      <w:proofErr w:type="gramEnd"/>
      <w:r>
        <w:rPr>
          <w:rFonts w:eastAsia="Calibri"/>
          <w:color w:val="000000"/>
          <w:sz w:val="22"/>
          <w:szCs w:val="22"/>
          <w:lang w:eastAsia="en-US"/>
        </w:rPr>
        <w:t xml:space="preserve"> base de cálculo do ITBI, à luz do art. 38do CTN, entendendo pela indispensável identidade com base no IPTU. A demanda está em fase de execução e não há menção, nem mesmo implícita, à legislação municipal ou a eventual arbitramento realizado pelo Fisco local, matérias estranhas ao pleito recursal.</w:t>
      </w:r>
    </w:p>
    <w:p w:rsidR="00D820A4" w:rsidRDefault="00D820A4" w:rsidP="00D820A4">
      <w:pPr>
        <w:spacing w:after="200"/>
        <w:jc w:val="both"/>
        <w:rPr>
          <w:rFonts w:eastAsia="Calibri"/>
          <w:color w:val="000000"/>
          <w:sz w:val="22"/>
          <w:szCs w:val="22"/>
          <w:lang w:eastAsia="en-US"/>
        </w:rPr>
      </w:pPr>
      <w:r>
        <w:rPr>
          <w:rFonts w:eastAsia="Calibri"/>
          <w:color w:val="000000"/>
          <w:sz w:val="22"/>
          <w:szCs w:val="22"/>
          <w:lang w:eastAsia="en-US"/>
        </w:rPr>
        <w:t>3. </w:t>
      </w:r>
      <w:hyperlink r:id="rId5" w:history="1">
        <w:r>
          <w:rPr>
            <w:rStyle w:val="Hyperlink"/>
            <w:rFonts w:eastAsia="Calibri"/>
            <w:color w:val="000000"/>
            <w:sz w:val="22"/>
            <w:szCs w:val="22"/>
            <w:lang w:eastAsia="en-US"/>
          </w:rPr>
          <w:t>Recurso Especial</w:t>
        </w:r>
      </w:hyperlink>
      <w:r>
        <w:rPr>
          <w:rFonts w:eastAsia="Calibri"/>
          <w:color w:val="000000"/>
          <w:sz w:val="22"/>
          <w:szCs w:val="22"/>
          <w:lang w:eastAsia="en-US"/>
        </w:rPr>
        <w:t> provido.</w:t>
      </w:r>
      <w:proofErr w:type="gramStart"/>
      <w:r>
        <w:rPr>
          <w:rFonts w:eastAsia="Calibri"/>
          <w:color w:val="000000"/>
          <w:sz w:val="22"/>
          <w:szCs w:val="22"/>
          <w:lang w:eastAsia="en-US"/>
        </w:rPr>
        <w:t>”</w:t>
      </w:r>
      <w:proofErr w:type="gramEnd"/>
    </w:p>
    <w:p w:rsidR="00D820A4" w:rsidRDefault="00D820A4" w:rsidP="00D820A4">
      <w:pPr>
        <w:spacing w:after="200"/>
        <w:jc w:val="both"/>
        <w:rPr>
          <w:rFonts w:eastAsia="Calibri"/>
          <w:sz w:val="22"/>
          <w:szCs w:val="22"/>
          <w:lang w:eastAsia="en-US"/>
        </w:rPr>
      </w:pPr>
      <w:r>
        <w:rPr>
          <w:rFonts w:eastAsia="Calibri"/>
          <w:color w:val="000000"/>
          <w:sz w:val="22"/>
          <w:szCs w:val="22"/>
          <w:lang w:eastAsia="en-US"/>
        </w:rPr>
        <w:t>O</w:t>
      </w:r>
      <w:r>
        <w:rPr>
          <w:rFonts w:eastAsia="Calibri"/>
          <w:sz w:val="22"/>
          <w:szCs w:val="22"/>
          <w:lang w:eastAsia="en-US"/>
        </w:rPr>
        <w:t xml:space="preserve"> ministro relator do STJ Herman Benjamin, ao votar pela reforma da decisão do TJSP, aduziu que “É amplamente sabido que valor venal significa valor de venda do imóvel”, sendo acompanhado pela Segunda Turma;</w:t>
      </w:r>
    </w:p>
    <w:p w:rsidR="00D820A4" w:rsidRDefault="00D820A4" w:rsidP="00D820A4">
      <w:pPr>
        <w:spacing w:after="200"/>
        <w:jc w:val="both"/>
        <w:rPr>
          <w:rFonts w:eastAsia="Calibri"/>
          <w:color w:val="000000"/>
          <w:sz w:val="22"/>
          <w:szCs w:val="22"/>
          <w:lang w:eastAsia="en-US"/>
        </w:rPr>
      </w:pPr>
      <w:r>
        <w:rPr>
          <w:rFonts w:eastAsia="Calibri"/>
          <w:color w:val="000000"/>
          <w:sz w:val="22"/>
          <w:szCs w:val="22"/>
          <w:lang w:eastAsia="en-US"/>
        </w:rPr>
        <w:t xml:space="preserve">É pacífico o entendimento no STJ que: </w:t>
      </w:r>
    </w:p>
    <w:p w:rsidR="00D820A4" w:rsidRDefault="00D820A4" w:rsidP="00D820A4">
      <w:pPr>
        <w:spacing w:after="200"/>
        <w:jc w:val="both"/>
        <w:rPr>
          <w:rFonts w:eastAsia="Calibri"/>
          <w:b/>
          <w:i/>
          <w:iCs/>
          <w:color w:val="000000"/>
          <w:sz w:val="22"/>
          <w:szCs w:val="22"/>
          <w:lang w:eastAsia="en-US"/>
        </w:rPr>
      </w:pPr>
      <w:proofErr w:type="gramStart"/>
      <w:r>
        <w:rPr>
          <w:rFonts w:eastAsia="Calibri"/>
          <w:b/>
          <w:i/>
          <w:iCs/>
          <w:color w:val="000000"/>
          <w:sz w:val="22"/>
          <w:szCs w:val="22"/>
          <w:lang w:eastAsia="en-US"/>
        </w:rPr>
        <w:t>"ITBI.</w:t>
      </w:r>
      <w:proofErr w:type="gramEnd"/>
      <w:r>
        <w:rPr>
          <w:rFonts w:eastAsia="Calibri"/>
          <w:b/>
          <w:i/>
          <w:iCs/>
          <w:color w:val="000000"/>
          <w:sz w:val="22"/>
          <w:szCs w:val="22"/>
          <w:lang w:eastAsia="en-US"/>
        </w:rPr>
        <w:t xml:space="preserve"> BASE DE CÁLCULO. VALOR DE MERCADO. VIOLAÇÃO AOS ARTS. 535, II, E 458, II, DO CPC. INOCORRÊNCIA. PREQUESTIONAMENTO DO ART. 146 DO CTN. INOCORRÊNCIA. REEXAME DE PROCESSO ADMINISTRATIVO FISCAL. INADMISSIBILIDADE. SÚMULA 7/STJ. (.) III - É cediço na doutrina majoritária e na jurisprudência dessa Corte que a base de cálculo do ITBI é o valor real da venda do imóvel ou de mercado, sendo que até nos casos em que não houve recolhimento, pode-se arbitrar o valor do imposto, por meio de procedimento administrativo fiscal, com posterior lançamento de ofício. </w:t>
      </w:r>
    </w:p>
    <w:p w:rsidR="00D820A4" w:rsidRDefault="00D820A4" w:rsidP="00D820A4">
      <w:pPr>
        <w:spacing w:after="200"/>
        <w:jc w:val="both"/>
        <w:rPr>
          <w:rFonts w:eastAsia="Calibri"/>
          <w:iCs/>
          <w:color w:val="000000"/>
          <w:sz w:val="22"/>
          <w:szCs w:val="22"/>
          <w:lang w:eastAsia="en-US"/>
        </w:rPr>
      </w:pPr>
      <w:r>
        <w:rPr>
          <w:rFonts w:eastAsia="Calibri"/>
          <w:iCs/>
          <w:color w:val="000000"/>
          <w:sz w:val="22"/>
          <w:szCs w:val="22"/>
          <w:lang w:eastAsia="en-US"/>
        </w:rPr>
        <w:t xml:space="preserve">(...) IV - Conforme consignado no v. acórdão, houve a devida intimação da complementação do lançamento, fato que a agravante alega não ter ocorrido. Entretanto, a análise da alegada irregularidade do procedimento administrativo fiscal demanda reexame de provas, o que é inadmissível pela via eleita do especial, a teor da Súmula 07/STJ. </w:t>
      </w:r>
      <w:proofErr w:type="gramStart"/>
      <w:r>
        <w:rPr>
          <w:rFonts w:eastAsia="Calibri"/>
          <w:iCs/>
          <w:color w:val="000000"/>
          <w:sz w:val="22"/>
          <w:szCs w:val="22"/>
          <w:lang w:eastAsia="en-US"/>
        </w:rPr>
        <w:t>V - Agravo regimental improvido"</w:t>
      </w:r>
      <w:proofErr w:type="gramEnd"/>
      <w:r>
        <w:rPr>
          <w:rFonts w:eastAsia="Calibri"/>
          <w:iCs/>
          <w:color w:val="000000"/>
          <w:sz w:val="22"/>
          <w:szCs w:val="22"/>
          <w:lang w:eastAsia="en-US"/>
        </w:rPr>
        <w:t>. (</w:t>
      </w:r>
      <w:proofErr w:type="spellStart"/>
      <w:r>
        <w:rPr>
          <w:rFonts w:eastAsia="Calibri"/>
          <w:iCs/>
          <w:color w:val="000000"/>
          <w:sz w:val="22"/>
          <w:szCs w:val="22"/>
          <w:lang w:eastAsia="en-US"/>
        </w:rPr>
        <w:t>AgRg</w:t>
      </w:r>
      <w:proofErr w:type="spellEnd"/>
      <w:r>
        <w:rPr>
          <w:rFonts w:eastAsia="Calibri"/>
          <w:iCs/>
          <w:color w:val="000000"/>
          <w:sz w:val="22"/>
          <w:szCs w:val="22"/>
          <w:lang w:eastAsia="en-US"/>
        </w:rPr>
        <w:t xml:space="preserve"> no </w:t>
      </w:r>
      <w:proofErr w:type="spellStart"/>
      <w:r>
        <w:rPr>
          <w:rFonts w:eastAsia="Calibri"/>
          <w:iCs/>
          <w:color w:val="000000"/>
          <w:sz w:val="22"/>
          <w:szCs w:val="22"/>
          <w:lang w:eastAsia="en-US"/>
        </w:rPr>
        <w:t>REsp</w:t>
      </w:r>
      <w:proofErr w:type="spellEnd"/>
      <w:r>
        <w:rPr>
          <w:rFonts w:eastAsia="Calibri"/>
          <w:iCs/>
          <w:color w:val="000000"/>
          <w:sz w:val="22"/>
          <w:szCs w:val="22"/>
          <w:lang w:eastAsia="en-US"/>
        </w:rPr>
        <w:t xml:space="preserve"> 1057493/SP, Rel. Ministro FRANCISCO FALCÃO, PRIMEIRA TURMA, julgado em 26/08/2008, </w:t>
      </w:r>
      <w:proofErr w:type="spellStart"/>
      <w:r>
        <w:rPr>
          <w:rFonts w:eastAsia="Calibri"/>
          <w:iCs/>
          <w:color w:val="000000"/>
          <w:sz w:val="22"/>
          <w:szCs w:val="22"/>
          <w:lang w:eastAsia="en-US"/>
        </w:rPr>
        <w:t>DJe</w:t>
      </w:r>
      <w:proofErr w:type="spellEnd"/>
      <w:r>
        <w:rPr>
          <w:rFonts w:eastAsia="Calibri"/>
          <w:iCs/>
          <w:color w:val="000000"/>
          <w:sz w:val="22"/>
          <w:szCs w:val="22"/>
          <w:lang w:eastAsia="en-US"/>
        </w:rPr>
        <w:t xml:space="preserve"> 04/09/2008).</w:t>
      </w:r>
    </w:p>
    <w:p w:rsidR="00D820A4" w:rsidRDefault="00D820A4" w:rsidP="00D820A4">
      <w:pPr>
        <w:shd w:val="clear" w:color="auto" w:fill="FFFFFF"/>
        <w:spacing w:after="324"/>
        <w:jc w:val="center"/>
        <w:rPr>
          <w:color w:val="000000"/>
          <w:sz w:val="22"/>
          <w:szCs w:val="22"/>
        </w:rPr>
      </w:pPr>
      <w:r>
        <w:rPr>
          <w:color w:val="000000"/>
          <w:sz w:val="22"/>
          <w:szCs w:val="22"/>
        </w:rPr>
        <w:t>Santa Rosa de Viterbo – SP,  _______/____________/</w:t>
      </w:r>
      <w:proofErr w:type="gramStart"/>
      <w:r>
        <w:rPr>
          <w:color w:val="000000"/>
          <w:sz w:val="22"/>
          <w:szCs w:val="22"/>
        </w:rPr>
        <w:t>______</w:t>
      </w:r>
      <w:proofErr w:type="gramEnd"/>
    </w:p>
    <w:p w:rsidR="00D820A4" w:rsidRDefault="00D820A4" w:rsidP="00D820A4">
      <w:pPr>
        <w:shd w:val="clear" w:color="auto" w:fill="FFFFFF"/>
        <w:spacing w:after="240"/>
        <w:jc w:val="center"/>
        <w:rPr>
          <w:color w:val="000000"/>
          <w:sz w:val="22"/>
          <w:szCs w:val="22"/>
        </w:rPr>
      </w:pPr>
      <w:r>
        <w:rPr>
          <w:color w:val="000000"/>
          <w:sz w:val="22"/>
          <w:szCs w:val="22"/>
        </w:rPr>
        <w:t>_____________________________________________</w:t>
      </w:r>
    </w:p>
    <w:p w:rsidR="0092653A" w:rsidRDefault="00D820A4" w:rsidP="004E0032">
      <w:pPr>
        <w:pStyle w:val="Standard"/>
      </w:pPr>
      <w:r>
        <w:rPr>
          <w:color w:val="000000"/>
          <w:kern w:val="0"/>
          <w:sz w:val="22"/>
          <w:szCs w:val="22"/>
        </w:rPr>
        <w:t xml:space="preserve">                                                                  </w:t>
      </w:r>
      <w:proofErr w:type="gramStart"/>
      <w:r>
        <w:rPr>
          <w:color w:val="000000"/>
          <w:kern w:val="0"/>
          <w:sz w:val="22"/>
          <w:szCs w:val="22"/>
        </w:rPr>
        <w:t xml:space="preserve">Assinatura </w:t>
      </w:r>
      <w:r w:rsidR="00677950">
        <w:rPr>
          <w:color w:val="000000"/>
          <w:kern w:val="0"/>
          <w:sz w:val="22"/>
          <w:szCs w:val="22"/>
        </w:rPr>
        <w:t>Cessionário</w:t>
      </w:r>
      <w:bookmarkStart w:id="0" w:name="_GoBack"/>
      <w:bookmarkEnd w:id="0"/>
      <w:proofErr w:type="gramEnd"/>
    </w:p>
    <w:sectPr w:rsidR="0092653A" w:rsidSect="004E0032">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A4"/>
    <w:rsid w:val="001F3012"/>
    <w:rsid w:val="00473A93"/>
    <w:rsid w:val="004C6903"/>
    <w:rsid w:val="004E0032"/>
    <w:rsid w:val="00677950"/>
    <w:rsid w:val="00696E4B"/>
    <w:rsid w:val="008625F7"/>
    <w:rsid w:val="0092653A"/>
    <w:rsid w:val="00D82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0A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820A4"/>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styleId="Hyperlink">
    <w:name w:val="Hyperlink"/>
    <w:basedOn w:val="Fontepargpadro"/>
    <w:uiPriority w:val="99"/>
    <w:semiHidden/>
    <w:unhideWhenUsed/>
    <w:rsid w:val="00D820A4"/>
    <w:rPr>
      <w:color w:val="0000FF" w:themeColor="hyperlink"/>
      <w:u w:val="single"/>
    </w:rPr>
  </w:style>
  <w:style w:type="paragraph" w:styleId="Textodebalo">
    <w:name w:val="Balloon Text"/>
    <w:basedOn w:val="Normal"/>
    <w:link w:val="TextodebaloChar"/>
    <w:uiPriority w:val="99"/>
    <w:semiHidden/>
    <w:unhideWhenUsed/>
    <w:rsid w:val="00696E4B"/>
    <w:rPr>
      <w:rFonts w:ascii="Tahoma" w:hAnsi="Tahoma"/>
      <w:sz w:val="16"/>
      <w:szCs w:val="16"/>
    </w:rPr>
  </w:style>
  <w:style w:type="character" w:customStyle="1" w:styleId="TextodebaloChar">
    <w:name w:val="Texto de balão Char"/>
    <w:basedOn w:val="Fontepargpadro"/>
    <w:link w:val="Textodebalo"/>
    <w:uiPriority w:val="99"/>
    <w:semiHidden/>
    <w:rsid w:val="00696E4B"/>
    <w:rPr>
      <w:rFonts w:ascii="Tahoma" w:eastAsia="Lucida Sans Unicode" w:hAnsi="Tahoma" w:cs="Tahoma"/>
      <w:kern w:val="3"/>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20A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820A4"/>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styleId="Hyperlink">
    <w:name w:val="Hyperlink"/>
    <w:basedOn w:val="Fontepargpadro"/>
    <w:uiPriority w:val="99"/>
    <w:semiHidden/>
    <w:unhideWhenUsed/>
    <w:rsid w:val="00D820A4"/>
    <w:rPr>
      <w:color w:val="0000FF" w:themeColor="hyperlink"/>
      <w:u w:val="single"/>
    </w:rPr>
  </w:style>
  <w:style w:type="paragraph" w:styleId="Textodebalo">
    <w:name w:val="Balloon Text"/>
    <w:basedOn w:val="Normal"/>
    <w:link w:val="TextodebaloChar"/>
    <w:uiPriority w:val="99"/>
    <w:semiHidden/>
    <w:unhideWhenUsed/>
    <w:rsid w:val="00696E4B"/>
    <w:rPr>
      <w:rFonts w:ascii="Tahoma" w:hAnsi="Tahoma"/>
      <w:sz w:val="16"/>
      <w:szCs w:val="16"/>
    </w:rPr>
  </w:style>
  <w:style w:type="character" w:customStyle="1" w:styleId="TextodebaloChar">
    <w:name w:val="Texto de balão Char"/>
    <w:basedOn w:val="Fontepargpadro"/>
    <w:link w:val="Textodebalo"/>
    <w:uiPriority w:val="99"/>
    <w:semiHidden/>
    <w:rsid w:val="00696E4B"/>
    <w:rPr>
      <w:rFonts w:ascii="Tahoma" w:eastAsia="Lucida Sans Unicode" w:hAnsi="Tahoma" w:cs="Tahoma"/>
      <w:kern w:val="3"/>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us.com.br/tudo/recurso-especia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854</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Tributacao</dc:creator>
  <cp:lastModifiedBy>Usuario Tributacao</cp:lastModifiedBy>
  <cp:revision>5</cp:revision>
  <cp:lastPrinted>2018-11-06T16:35:00Z</cp:lastPrinted>
  <dcterms:created xsi:type="dcterms:W3CDTF">2018-11-05T19:36:00Z</dcterms:created>
  <dcterms:modified xsi:type="dcterms:W3CDTF">2020-07-23T14:00:00Z</dcterms:modified>
</cp:coreProperties>
</file>